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00C1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566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DA215/20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566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566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21 DP 1254831</w:t>
            </w:r>
            <w:bookmarkStart w:id="2" w:name="LEGALDESC"/>
            <w:bookmarkEnd w:id="2"/>
          </w:p>
          <w:p w:rsidR="00C566E8" w:rsidRDefault="00C566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1044 Browns Gap Road</w:t>
            </w:r>
          </w:p>
          <w:p w:rsidR="005270D9" w:rsidRPr="00C240DF" w:rsidRDefault="00C566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566E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723EC6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General Terms of Approval have been issued by the relevant Government Department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40DF">
              <w:rPr>
                <w:rFonts w:ascii="Tahoma" w:hAnsi="Tahoma" w:cs="Tahoma"/>
                <w:highlight w:val="lightGray"/>
              </w:rPr>
              <w:t>Other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723EC6" w:rsidP="00723EC6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C240DF">
              <w:rPr>
                <w:rFonts w:ascii="Tahoma" w:hAnsi="Tahoma" w:cs="Tahoma"/>
                <w:highlight w:val="lightGray"/>
              </w:rPr>
              <w:t xml:space="preserve">Adjoining property owners were notified of the proposed development in accordance with Council’s policy and </w:t>
            </w:r>
            <w:r w:rsidRPr="00C240DF">
              <w:rPr>
                <w:rFonts w:ascii="Tahoma" w:hAnsi="Tahoma" w:cs="Tahoma"/>
                <w:highlight w:val="lightGray"/>
              </w:rPr>
              <w:lastRenderedPageBreak/>
              <w:t xml:space="preserve">concerns raised in submissions were addressed by </w:t>
            </w:r>
            <w:r w:rsidRPr="00C240DF">
              <w:rPr>
                <w:rFonts w:ascii="Tahoma" w:hAnsi="Tahoma" w:cs="Tahoma"/>
                <w:color w:val="0070C0"/>
                <w:highlight w:val="lightGray"/>
              </w:rPr>
              <w:t>(insert e.g. privacy screen along elevation).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The development was subject to public consultation as required by the EP&amp;A Act</w:t>
            </w:r>
            <w:r w:rsidR="00723EC6" w:rsidRPr="00C240DF">
              <w:rPr>
                <w:rFonts w:ascii="Tahoma" w:hAnsi="Tahoma" w:cs="Tahoma"/>
                <w:highlight w:val="lightGray"/>
              </w:rPr>
              <w:t>.</w:t>
            </w:r>
          </w:p>
          <w:p w:rsidR="00723EC6" w:rsidRPr="00C240DF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The development does not require public consultation as part of the assessment process</w:t>
            </w:r>
            <w:r w:rsidR="00723EC6" w:rsidRPr="00C240DF">
              <w:rPr>
                <w:rFonts w:ascii="Tahoma" w:hAnsi="Tahoma" w:cs="Tahoma"/>
                <w:highlight w:val="lightGray"/>
              </w:rPr>
              <w:t xml:space="preserve"> and therefore n</w:t>
            </w:r>
            <w:r w:rsidRPr="00C240DF">
              <w:rPr>
                <w:rFonts w:ascii="Tahoma" w:hAnsi="Tahoma" w:cs="Tahoma"/>
                <w:highlight w:val="lightGray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lastRenderedPageBreak/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E8" w:rsidRDefault="00C566E8">
      <w:pPr>
        <w:spacing w:after="0" w:line="240" w:lineRule="auto"/>
      </w:pPr>
      <w:r>
        <w:separator/>
      </w:r>
    </w:p>
  </w:endnote>
  <w:endnote w:type="continuationSeparator" w:id="0">
    <w:p w:rsidR="00C566E8" w:rsidRDefault="00C5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E8" w:rsidRDefault="00C566E8">
      <w:pPr>
        <w:spacing w:after="0" w:line="240" w:lineRule="auto"/>
      </w:pPr>
      <w:r>
        <w:separator/>
      </w:r>
    </w:p>
  </w:footnote>
  <w:footnote w:type="continuationSeparator" w:id="0">
    <w:p w:rsidR="00C566E8" w:rsidRDefault="00C5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00C12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566E8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E7577D-FF8A-4D1E-AB2F-B6ACFBF0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2021-02-10T22:49:00Z</dcterms:created>
  <dcterms:modified xsi:type="dcterms:W3CDTF">2021-02-10T22:49:00Z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