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A854A5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E70F52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DA139/25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1C3E9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bookmarkStart w:id="1" w:name="PROPOSAL1"/>
            <w:bookmarkEnd w:id="1"/>
            <w:r>
              <w:rPr>
                <w:rFonts w:ascii="Tahoma" w:hAnsi="Tahoma" w:cs="Tahoma"/>
              </w:rPr>
              <w:t xml:space="preserve">Shed </w:t>
            </w:r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E70F52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48 DP 834866</w:t>
            </w:r>
            <w:bookmarkStart w:id="2" w:name="LEGALDESC"/>
            <w:bookmarkEnd w:id="2"/>
          </w:p>
          <w:p w:rsidR="00E70F52" w:rsidRDefault="00E70F52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Granger Place</w:t>
            </w:r>
          </w:p>
          <w:p w:rsidR="005270D9" w:rsidRPr="00C240DF" w:rsidRDefault="00E70F52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HARTLEY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70F52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E70F52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20/11/2025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1C3E99" w:rsidRDefault="00723EC6" w:rsidP="000674C8">
            <w:pPr>
              <w:spacing w:after="0" w:line="240" w:lineRule="auto"/>
              <w:rPr>
                <w:rFonts w:ascii="Tahoma" w:hAnsi="Tahoma" w:cs="Tahoma"/>
              </w:rPr>
            </w:pPr>
            <w:bookmarkStart w:id="6" w:name="_GoBack"/>
            <w:bookmarkEnd w:id="6"/>
          </w:p>
          <w:p w:rsidR="00381B67" w:rsidRPr="00A854A5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1C3E99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1C3E99">
              <w:rPr>
                <w:rFonts w:ascii="Tahoma" w:hAnsi="Tahoma" w:cs="Tahoma"/>
              </w:rPr>
              <w:t xml:space="preserve"> and therefore n</w:t>
            </w:r>
            <w:r w:rsidRPr="001C3E99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A5" w:rsidRDefault="00A854A5">
      <w:pPr>
        <w:spacing w:after="0" w:line="240" w:lineRule="auto"/>
      </w:pPr>
      <w:r>
        <w:separator/>
      </w:r>
    </w:p>
  </w:endnote>
  <w:endnote w:type="continuationSeparator" w:id="0">
    <w:p w:rsidR="00A854A5" w:rsidRDefault="00A8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A5" w:rsidRDefault="00A854A5">
      <w:pPr>
        <w:spacing w:after="0" w:line="240" w:lineRule="auto"/>
      </w:pPr>
      <w:r>
        <w:separator/>
      </w:r>
    </w:p>
  </w:footnote>
  <w:footnote w:type="continuationSeparator" w:id="0">
    <w:p w:rsidR="00A854A5" w:rsidRDefault="00A8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F52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C3E99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854A5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0F52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61ABF3"/>
  <w15:chartTrackingRefBased/>
  <w15:docId w15:val="{4E40A541-BE4E-4C84-AF93-793AC41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3y1OlE3SPZXeUWdnwEcR\AppData\Local\Temp\59\tmpBC40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3y1OlE3SPZXeUWdnwEcR</dc:creator>
  <cp:keywords/>
  <cp:lastModifiedBy>3y1OlE3SPZXeUWdnwEcR</cp:lastModifiedBy>
  <cp:revision>2</cp:revision>
  <cp:lastPrinted>2018-07-10T06:13:00Z</cp:lastPrinted>
  <dcterms:created xsi:type="dcterms:W3CDTF">2025-11-19T21:11:00Z</dcterms:created>
  <dcterms:modified xsi:type="dcterms:W3CDTF">2025-11-19T21:11:00Z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